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52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大方廣佛華嚴經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十一）淨行品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2005</w:t>
      </w:r>
    </w:p>
    <w:p w:rsidR="00CB439B" w:rsidRPr="00794A0C" w:rsidRDefault="00CB439B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Hòa</w:t>
      </w:r>
    </w:p>
    <w:p w:rsidR="00CB439B" w:rsidRDefault="00CB439B" w:rsidP="00794A0C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duyệt: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</w:p>
    <w:p w:rsidR="000302F1" w:rsidRPr="000302F1" w:rsidRDefault="000302F1" w:rsidP="000302F1">
      <w:pPr>
        <w:spacing w:line="240" w:lineRule="auto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1565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bảy: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huân,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nhuyễn.</w:t>
      </w:r>
    </w:p>
    <w:p w:rsidR="00E569B8" w:rsidRPr="00794A0C" w:rsidRDefault="00E569B8" w:rsidP="00794A0C">
      <w:pPr>
        <w:spacing w:line="235" w:lineRule="atLeast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得柔軟食。當願眾生。大悲所熏。心意柔軟。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mềm,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đúc,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mềm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mỏng).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dở.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nhuyễn”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lương”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粗糧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“những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sản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nuôi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đó”.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hợp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thủy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thổ”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chênh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lệch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nhuyễn”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bookmarkStart w:id="0" w:name="_Hlk501120098"/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柔軟</w:t>
      </w:r>
      <w:bookmarkEnd w:id="0"/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huân,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nhuyễn”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mềm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mỏng).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lực”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huân”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“từ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ái”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thương),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gũi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情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“Chấp”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執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“mừng,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giận,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buồn,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vui,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yêu,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ghét,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dục”.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欲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nghê,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hẳn!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kèm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ái”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mềm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mại),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huống]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“từ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nhuyễn”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“khoáng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đẽ.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bỏ,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cao],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“sắc,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hương,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nhiêu?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hẳn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hẳn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hẳn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nhị”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hành]),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đáp!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mùi,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thị”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法爾如是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</w:rPr>
        <w:t>,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Diêm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Phù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ương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(mềm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mỏng)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mềm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mỏng.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ươ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ngạnh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Nhị.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bẵng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世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Hán]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十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nghĩa]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1977.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vặn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>Tsim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>Sha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>Tsui)</w:t>
      </w:r>
      <w:r w:rsidRPr="00794A0C">
        <w:rPr>
          <w:rStyle w:val="FootnoteReference"/>
          <w:rFonts w:ascii="Times New Roman" w:eastAsia="Times New Roman" w:hAnsi="Times New Roman"/>
          <w:noProof w:val="0"/>
          <w:sz w:val="28"/>
          <w:szCs w:val="28"/>
          <w:lang w:val="en"/>
        </w:rPr>
        <w:footnoteReference w:id="1"/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xoe.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ốc]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lấ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ngầm!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“thói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tệ”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(cell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phone).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cell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(text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message,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short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message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service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SMS)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TV,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gồm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Quốc],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thầy!”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vuột!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ngộ”,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chậm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chóng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lũy,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ngừng.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rẽ.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“triệt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nhất”.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sẵn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nhuyễn”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nhở,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?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?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hỷ”.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“tận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“Tận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“tận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guội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vượng.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suy”.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nhiệm.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khăn!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khăn,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khăn”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kỷ”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“phản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(xoay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tiễn,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thuyết.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Chứng)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tỳ-kheo,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sa-di,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sa-di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thừa!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Hoa],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nhòa,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hớp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miếng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ắt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liệt;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radio,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tỉnh.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phút!</w:t>
      </w:r>
    </w:p>
    <w:p w:rsidR="00E569B8" w:rsidRPr="00794A0C" w:rsidRDefault="00E569B8" w:rsidP="00794A0C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tám: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sáp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tuyệt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ái.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得粗澀食。當願眾生。心無染著。絕世貪愛。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đắm,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dứt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ái).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xoay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“Người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địch”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6"/>
          <w:szCs w:val="26"/>
        </w:rPr>
        <w:t>[nghĩa</w:t>
      </w:r>
      <w:r w:rsidR="00794A0C" w:rsidRPr="00794A0C">
        <w:rPr>
          <w:rFonts w:ascii="Times New Roman" w:eastAsia="Times New Roman" w:hAnsi="Times New Roman"/>
          <w:noProof w:val="0"/>
          <w:sz w:val="26"/>
          <w:szCs w:val="26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6"/>
          <w:szCs w:val="26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khủng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thuẫn,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đột]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vỗ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tiếng”.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[Bàn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(Kuala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Lumpur)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ngộ!”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rằng: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‘tự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iến.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đoạn,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ngắn,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chép: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Tát”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Tướng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([đây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xứ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[ngõ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hầu]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khởi,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chướng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mở”.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bú,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này],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lặng,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sữa.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Hải),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trận,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phút!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kỉnh,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phen,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mày”,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kỉnh,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ngươi”,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đẽ.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tắc”.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hẹn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hẹn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hẹn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đó]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đó],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nữa].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uống].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cưỡng.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[nếu]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bớt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tuyệt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“Nhiễm”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染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“Trước”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著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TV.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ảnh,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múa,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Internet,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morphine!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思無邪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vạy).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kia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trộm,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dối,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diễn.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radio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đột!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“Cớ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thịt?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lành”.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thỏa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khẩu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cỏi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góc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先天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[“tiên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“Hậu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後天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phía,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đẹp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hóa”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“Hóa”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化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[“thâm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hóa”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Mỹ.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“Trường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lớn”.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chiếc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qua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đây!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1566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chín: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phạn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duyệt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mãn.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  <w:lang w:val="en-US"/>
        </w:rPr>
        <w:t>)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若飯食時。當願眾生。禪悅為食。法喜充滿。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ngập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tràn).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過堂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Pr="00794A0C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2"/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“quy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lệnh,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“nhập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húy”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kiêng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loạn”.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lệ.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ngặt;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[vâng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mình”!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bộ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này)?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sướng.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nghèo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hèn,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mỏng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ớt,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diệt”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diệt”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ăn?”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ngại;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duy-na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“thực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tồn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tưởng: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“kế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thiểu,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bỉ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xứ”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(xét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có),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k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ế”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計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cập.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xòe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gũi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am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rau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nhóm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lửa,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lửa,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rộng!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ruộng,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chở,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xích,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“Nương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tồn,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đuôi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phỏng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yếu!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sóc,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nằm,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men,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cửa,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diễn]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phép]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trẻ,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hoặc.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kinh]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sa-di.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Sa-di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tỳ-kheo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đỉnh;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đồng”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nằm,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núi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mang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sừng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đền!”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nhé!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3)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“phòng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tông”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đừ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lỗi,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v.v..)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nọ,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ấy],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4)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nào].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良藥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lành).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quỷ.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“hội”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“bảy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xứ,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hội”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tòa,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“tiêu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thụ”.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dường]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“nghiệp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hồi”.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giàu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sụ,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bé!</w:t>
      </w:r>
    </w:p>
    <w:p w:rsidR="00794A0C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giàu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sụ,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oán”.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huyện.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thuế.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“vạn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nhẹ,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nặng!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quan,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sách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gây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thêm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nặng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gánh,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này!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đọa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oán”,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[nghĩa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là]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hưởng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đọa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lạc,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rồi!”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hiền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(niềm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niềm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ngập).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ngon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nhuyễn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mỏng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vọng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phút!</w:t>
      </w:r>
    </w:p>
    <w:p w:rsidR="00E569B8" w:rsidRPr="00794A0C" w:rsidRDefault="00E569B8" w:rsidP="00794A0C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theo: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túc.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794A0C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794A0C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若受味時。當願眾生。得佛上味。甘露滿足。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nếm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vị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đủ).</w:t>
      </w:r>
    </w:p>
    <w:p w:rsidR="003A1D87" w:rsidRPr="00794A0C" w:rsidRDefault="003A1D87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“thọ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“thấy,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(nước)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“Tình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Chủng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“Tình”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情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八不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“Thấy,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[kết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nước]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vùi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Vùi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tóm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tóm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xét.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tội,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đận,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thẹn.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hờn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khuyến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chép,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Du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“làm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suyển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mảy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may!”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mùi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mùi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lộ”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(A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>mṛta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“nước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thủy)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hiền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thẹn.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tài,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ngơi;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Pr="00794A0C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3"/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蓋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[khiến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ấy].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[ngũ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dục].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nghê!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trầm;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dậy.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sút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miếu,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rưỡi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rưỡi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ráy.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rưỡi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rưỡi.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quét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dọn,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dẹp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“văn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bộ”.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đớn,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Nhã?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"/>
        </w:rPr>
        <w:t>Araṇya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viện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đăng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điện”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Bảo).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trấn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Hiếm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mò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phức!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lớn!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“Thiền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“đắc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Ký.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cỏi!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đồng.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“Tín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“vốn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vật”.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“vốn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vọng”.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“vốn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kết: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rốt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ráo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gồm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cố.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lâu!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toán,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toán.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hồi?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phú,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“Buông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dấy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khởi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“thượng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tên,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hòa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hợp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vọng.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794A0C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智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đẳng;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Ngửi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ngửi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ngoài.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vừa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chuyển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bàn!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mũi,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mũi,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mũi,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lưỡi,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biệt”,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nhẹ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biệt,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quát.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bỏ,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(giả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ra)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thuốc,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còn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bỏ,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huống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chặt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hỏng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bét,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ồi!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bỏ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“hoát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xả!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Xả,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xả!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vào.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vướng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có”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thừa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còn,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tại.</w:t>
      </w:r>
    </w:p>
    <w:p w:rsidR="00E569B8" w:rsidRPr="00794A0C" w:rsidRDefault="00E569B8" w:rsidP="00794A0C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hiền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thực,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hỷ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sung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mãn”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ăn,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“người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được”,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người: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“Ngài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tựu,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tựu”.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đượ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trưởng,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gợi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muồi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muồi!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muồi,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794A0C" w:rsidRPr="00794A0C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noProof w:val="0"/>
          <w:sz w:val="28"/>
          <w:szCs w:val="28"/>
        </w:rPr>
        <w:t>đây!</w:t>
      </w:r>
    </w:p>
    <w:p w:rsidR="00E569B8" w:rsidRPr="00794A0C" w:rsidRDefault="00E569B8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E569B8" w:rsidRPr="00794A0C" w:rsidRDefault="00E569B8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E569B8" w:rsidRPr="00794A0C" w:rsidRDefault="00E569B8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E569B8" w:rsidRPr="00794A0C" w:rsidRDefault="00E569B8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E569B8" w:rsidRPr="00794A0C" w:rsidRDefault="00E569B8" w:rsidP="00794A0C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52</w:t>
      </w:r>
      <w:r w:rsidR="00794A0C"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94A0C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hết</w:t>
      </w:r>
    </w:p>
    <w:sectPr w:rsidR="00E569B8" w:rsidRPr="00794A0C" w:rsidSect="00BC4BBE">
      <w:footerReference w:type="default" r:id="rId8"/>
      <w:footerReference w:type="firs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BBE" w:rsidRDefault="00BC4BBE">
      <w:pPr>
        <w:spacing w:line="240" w:lineRule="auto"/>
      </w:pPr>
      <w:r>
        <w:separator/>
      </w:r>
    </w:p>
  </w:endnote>
  <w:endnote w:type="continuationSeparator" w:id="0">
    <w:p w:rsidR="00BC4BBE" w:rsidRDefault="00BC4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BBE" w:rsidRDefault="00BC4BBE">
      <w:pPr>
        <w:spacing w:line="240" w:lineRule="auto"/>
      </w:pPr>
      <w:r>
        <w:separator/>
      </w:r>
    </w:p>
  </w:footnote>
  <w:footnote w:type="continuationSeparator" w:id="0">
    <w:p w:rsidR="00BC4BBE" w:rsidRDefault="00BC4BBE">
      <w:pPr>
        <w:spacing w:line="240" w:lineRule="auto"/>
      </w:pPr>
      <w:r>
        <w:continuationSeparator/>
      </w:r>
    </w:p>
  </w:footnote>
  <w:footnote w:id="1">
    <w:p w:rsidR="00E569B8" w:rsidRPr="00794A0C" w:rsidRDefault="00E569B8" w:rsidP="00E569B8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>
        <w:rPr>
          <w:rStyle w:val="FootnoteReference"/>
        </w:rPr>
        <w:footnoteRef/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Tiêm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Sa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Trớ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vùng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nằm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ở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phía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Nam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lãnh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thổ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Cửu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của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Hương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Cảng.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Đây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doi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đất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từ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bán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đảo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Cửu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đâm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ra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vịnh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Victoria.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Đây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khu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vực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buôn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bán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rất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thịnh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vượng,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hút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du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khách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rất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lớn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của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Hương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Cảng.</w:t>
      </w:r>
    </w:p>
  </w:footnote>
  <w:footnote w:id="2">
    <w:p w:rsidR="00E569B8" w:rsidRPr="00794A0C" w:rsidRDefault="00E569B8" w:rsidP="00E569B8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>
        <w:rPr>
          <w:rStyle w:val="FootnoteReference"/>
        </w:rPr>
        <w:footnoteRef/>
      </w:r>
      <w:r w:rsidR="00794A0C"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Chữ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Quá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nghĩa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gốc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“vào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môn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chịu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thẩm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vấn”.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Thiền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ngữ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việc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thọ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dụng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mỗi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miếng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mỗi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hớp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uống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đều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phải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tâm,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quán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tưởng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nghiêm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mật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giống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ang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trên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thẩm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vấn,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luôn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phải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tâm,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gìn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giữ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oai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câu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thúc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niệm,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suy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chánh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đáng.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Chế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tùng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lâm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định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Quá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khóa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Khóa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(khóa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thọ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thọ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trưa,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niệm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khóa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tối,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Sơn).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Bữa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rất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bạc,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Dược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Thạch,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dụng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Quá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Trước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thọ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Tăng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cư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trực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nhật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gõ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chiếc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mõ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lớn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hình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chép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(thường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Bang)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treo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ngoài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lang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đồng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gõ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Vân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Bản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phiến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hình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đám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mây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điệu).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Tăng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nghe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tiếng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Bang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tiếng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Vân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Bản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bèn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đúng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tự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tự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viện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mà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tiến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nhập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Trụ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Trì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ngồi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ở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chính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giữa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đó,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hiệu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lệnh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duy-na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chấp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mọi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xướng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kệ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cúng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Tam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Bảo,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quán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tưởng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năm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điều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(tồn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tâm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quán),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đó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im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lặng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dùng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bữa.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trực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nhật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phân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phối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Nếu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muốn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thêm,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bèn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đẩy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phía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trước,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trực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nhật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sẽ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lấy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thêm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phải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đoan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chánh,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ngồi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thẳng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lưng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nhàn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nhã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cúi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gằm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đầu,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hay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thế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ngả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ngớn,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bươi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quậy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chén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không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được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trò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chuyện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xong,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cùng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nhau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kệ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Kết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rồi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mới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rời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thống,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thường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tượng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Bồ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Tát,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tức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Khẩn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Vương,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tóc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đỏ,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thân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vàng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Đôi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khi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chùa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tượng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Ngài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đầu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ngựa,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sừng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dài,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ăn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mặc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võ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sĩ.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thuyết,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hiện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chuyên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nhóm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lửa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bếp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chùa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Thiếu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Lâm.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quân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giặc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xâm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lấn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chùa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Thiếu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Lâm,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cầm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dài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thước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đang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cháy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bừng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bừng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tấn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công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khiến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bọn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giặc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bỏ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chạy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loạn.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đó,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sau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Ngài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hộ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môn.</w:t>
      </w:r>
    </w:p>
  </w:footnote>
  <w:footnote w:id="3">
    <w:p w:rsidR="00E569B8" w:rsidRPr="00E569B8" w:rsidRDefault="00E569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794A0C"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Cái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(P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"/>
        </w:rPr>
        <w:t>añca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"/>
        </w:rPr>
        <w:t>Nivāraṇa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),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còn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gọi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Chướng,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hoặc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Ngũ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Thoái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Pháp,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bao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gồm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tham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dục,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sân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khuể,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thùy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miên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(ngủ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nghê),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trạo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hối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(thấp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thỏm,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bộp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chộp),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và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hoài</w:t>
      </w:r>
      <w:r w:rsidR="00794A0C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E569B8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nghi.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A2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33905"/>
    <w:multiLevelType w:val="hybridMultilevel"/>
    <w:tmpl w:val="4592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420632">
    <w:abstractNumId w:val="0"/>
  </w:num>
  <w:num w:numId="2" w16cid:durableId="135970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0302F1"/>
    <w:rsid w:val="001047F8"/>
    <w:rsid w:val="00176E36"/>
    <w:rsid w:val="003A1D87"/>
    <w:rsid w:val="003A71BD"/>
    <w:rsid w:val="00515489"/>
    <w:rsid w:val="006127A1"/>
    <w:rsid w:val="006272D1"/>
    <w:rsid w:val="0066152B"/>
    <w:rsid w:val="00693436"/>
    <w:rsid w:val="00794A0C"/>
    <w:rsid w:val="00872F18"/>
    <w:rsid w:val="0097746E"/>
    <w:rsid w:val="00A36510"/>
    <w:rsid w:val="00A67975"/>
    <w:rsid w:val="00BC4BBE"/>
    <w:rsid w:val="00BD3B9B"/>
    <w:rsid w:val="00C1261C"/>
    <w:rsid w:val="00CB439B"/>
    <w:rsid w:val="00E569B8"/>
    <w:rsid w:val="00E763C8"/>
    <w:rsid w:val="00F46113"/>
    <w:rsid w:val="00F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4AEF00-CF74-40BC-AA17-BB3ED824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A67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  <w:basedOn w:val="DefaultParagraphFont"/>
    <w:rsid w:val="00CB439B"/>
  </w:style>
  <w:style w:type="character" w:styleId="Hyperlink">
    <w:name w:val="Hyperlink"/>
    <w:uiPriority w:val="99"/>
    <w:unhideWhenUsed/>
    <w:rsid w:val="00CB43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439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A67975"/>
    <w:rPr>
      <w:rFonts w:ascii="Times New Roman" w:eastAsia="Times New Roman" w:hAnsi="Times New Roman" w:cs="Times New Roman"/>
      <w:b/>
      <w:bCs/>
      <w:noProof/>
      <w:color w:val="333333"/>
      <w:kern w:val="36"/>
      <w:sz w:val="48"/>
      <w:szCs w:val="48"/>
      <w:lang w:val="vi-VN"/>
    </w:rPr>
  </w:style>
  <w:style w:type="character" w:customStyle="1" w:styleId="watch-title">
    <w:name w:val="watch-title"/>
    <w:rsid w:val="00A67975"/>
    <w:rPr>
      <w:sz w:val="24"/>
      <w:szCs w:val="24"/>
    </w:rPr>
  </w:style>
  <w:style w:type="character" w:customStyle="1" w:styleId="titletitle">
    <w:name w:val="title_title"/>
    <w:rsid w:val="00A67975"/>
  </w:style>
  <w:style w:type="character" w:customStyle="1" w:styleId="unicode">
    <w:name w:val="unicode"/>
    <w:rsid w:val="00A67975"/>
  </w:style>
  <w:style w:type="character" w:styleId="Emphasis">
    <w:name w:val="Emphasis"/>
    <w:uiPriority w:val="20"/>
    <w:qFormat/>
    <w:rsid w:val="00A67975"/>
    <w:rPr>
      <w:b/>
      <w:bCs/>
      <w:i w:val="0"/>
      <w:iCs w:val="0"/>
    </w:rPr>
  </w:style>
  <w:style w:type="character" w:styleId="BookTitle">
    <w:name w:val="Book Title"/>
    <w:uiPriority w:val="33"/>
    <w:qFormat/>
    <w:rsid w:val="00A67975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7975"/>
    <w:pPr>
      <w:suppressAutoHyphens/>
      <w:spacing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semiHidden/>
    <w:rsid w:val="00A67975"/>
    <w:rPr>
      <w:rFonts w:ascii="Times New Roman" w:eastAsia="SimSun" w:hAnsi="Times New Roman" w:cs="Times New Roman"/>
      <w:noProof/>
      <w:lang w:val="vi-VN" w:eastAsia="zh-CN"/>
    </w:rPr>
  </w:style>
  <w:style w:type="character" w:styleId="EndnoteReference">
    <w:name w:val="endnote reference"/>
    <w:uiPriority w:val="99"/>
    <w:semiHidden/>
    <w:unhideWhenUsed/>
    <w:rsid w:val="00A67975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A67975"/>
    <w:pPr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67975"/>
    <w:rPr>
      <w:rFonts w:cs="Times New Roman"/>
      <w:i/>
      <w:iCs/>
      <w:noProof/>
      <w:color w:val="404040"/>
      <w:sz w:val="22"/>
      <w:szCs w:val="22"/>
      <w:lang w:val="vi-VN"/>
    </w:rPr>
  </w:style>
  <w:style w:type="character" w:customStyle="1" w:styleId="auto-style1">
    <w:name w:val="auto-style1"/>
    <w:rsid w:val="00A6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BBB7-1475-4033-AA1F-FAF1C212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14387</Words>
  <Characters>82008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